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Cambria" w:cs="Cambria" w:eastAsia="Cambria" w:hAnsi="Cambria"/>
          <w:b w:val="1"/>
          <w:bCs w:val="1"/>
          <w:color w:val="1e4f71"/>
        </w:rPr>
      </w:pPr>
      <w:bookmarkStart w:colFirst="0" w:colLast="0" w:name="_7bb0d66iuu59" w:id="0"/>
      <w:bookmarkEnd w:id="0"/>
      <w:r w:rsidDel="00000000" w:rsidR="00000000" w:rsidRPr="00000000">
        <w:rPr>
          <w:rFonts w:ascii="Cambria" w:cs="Cambria" w:eastAsia="Cambria" w:hAnsi="Cambria"/>
          <w:b w:val="1"/>
          <w:bCs w:val="1"/>
          <w:color w:val="1e4f71"/>
          <w:rtl w:val="0"/>
        </w:rPr>
        <w:t xml:space="preserve">CHAPTER 6.0  Recommendations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recommended actions that follow were developed through an intensive and extensive collaborative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effort that included many groups, agencies, and individuals. The final recommendations to be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moved forward by South Mountain Partnership were developed in partnership with Adams,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Cumberland, Franklin, and York County planning agencies, and approved by the Leadership Committee of South Mountain Partnership.</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document is intended for decision-makers and policymakers in the South Mountain region. There are two sets of recommendations: highest priority recommendations and other recommendations. The Action Plan is a summary table that presents the recommended action, the lead organisation, and potential partner organizations involved, the length of time which the action is likely to take, potential funding sources (with hyperlinks), initial next steps to implementation, intended audience, existing resources available, and measurements to evaluate the success of the action.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recommended actions are already underway in some of the counties and municipalities within the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 Mountain landscape; however, since this State of the Region initiative is focused on the entire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landscape and all the governments and organisations within it, the recommended actions remain valid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those places that have not undertaken them yet. While some of the recommendations are directed at individual municipalities, the cumulative and coordinated actions of municipalities and others are needed to address these challenges at the landscape scale.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Cambria" w:cs="Cambria" w:eastAsia="Cambria" w:hAnsi="Cambria"/>
          <w:b w:val="1"/>
          <w:bCs w:val="1"/>
          <w:color w:val="42abcd"/>
        </w:rPr>
      </w:pPr>
      <w:r w:rsidDel="00000000" w:rsidR="00000000" w:rsidRPr="00000000">
        <w:rPr>
          <w:rFonts w:ascii="Cambria" w:cs="Cambria" w:eastAsia="Cambria" w:hAnsi="Cambria"/>
          <w:b w:val="1"/>
          <w:bCs w:val="1"/>
          <w:color w:val="42abcd"/>
          <w:rtl w:val="0"/>
        </w:rPr>
        <w:t xml:space="preserve">6.1  Implementation Schedule &amp; Strategies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larger implementation strategy and plan of action are discussed below.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SMP Implementation Strategies</w:t>
      </w:r>
    </w:p>
    <w:p w:rsidR="00000000" w:rsidDel="00000000" w:rsidP="00000000" w:rsidRDefault="00000000" w:rsidRPr="00000000" w14:paraId="00000014">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Integrate the State of the Region initiative with strategic planning efforts/document </w:t>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Fonts w:ascii="Cardo" w:cs="Cardo" w:eastAsia="Cardo" w:hAnsi="Cardo"/>
          <w:rtl w:val="0"/>
        </w:rPr>
        <w:t xml:space="preserve">→ SMP’s strategic planning should be adjusted as appropriate based on the State of the Region initiative. </w:t>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Align with core partner priorities </w:t>
      </w:r>
    </w:p>
    <w:p w:rsidR="00000000" w:rsidDel="00000000" w:rsidP="00000000" w:rsidRDefault="00000000" w:rsidRPr="00000000" w14:paraId="00000017">
      <w:pPr>
        <w:ind w:left="720" w:firstLine="0"/>
        <w:rPr>
          <w:b w:val="1"/>
          <w:bCs w:val="1"/>
        </w:rPr>
      </w:pPr>
      <w:r w:rsidDel="00000000" w:rsidR="00000000" w:rsidRPr="00000000">
        <w:rPr>
          <w:rFonts w:ascii="Cardo" w:cs="Cardo" w:eastAsia="Cardo" w:hAnsi="Cardo"/>
          <w:rtl w:val="0"/>
        </w:rPr>
        <w:t xml:space="preserve">→Assess that the State of the Region initiative work also aligns with core partner priorities and timelines as much as possible</w:t>
      </w:r>
      <w:r w:rsidDel="00000000" w:rsidR="00000000" w:rsidRPr="00000000">
        <w:rPr>
          <w:b w:val="1"/>
          <w:bCs w:val="1"/>
          <w:rtl w:val="0"/>
        </w:rPr>
        <w:t xml:space="preserve">. </w:t>
      </w:r>
    </w:p>
    <w:p w:rsidR="00000000" w:rsidDel="00000000" w:rsidP="00000000" w:rsidRDefault="00000000" w:rsidRPr="00000000" w14:paraId="00000018">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 Use to secure additional funding/grant sources </w:t>
      </w:r>
    </w:p>
    <w:p w:rsidR="00000000" w:rsidDel="00000000" w:rsidP="00000000" w:rsidRDefault="00000000" w:rsidRPr="00000000" w14:paraId="00000019">
      <w:pPr>
        <w:ind w:left="720" w:firstLine="0"/>
        <w:rPr>
          <w:rFonts w:ascii="Times New Roman" w:cs="Times New Roman" w:eastAsia="Times New Roman" w:hAnsi="Times New Roman"/>
        </w:rPr>
      </w:pPr>
      <w:r w:rsidDel="00000000" w:rsidR="00000000" w:rsidRPr="00000000">
        <w:rPr>
          <w:rFonts w:ascii="Cardo" w:cs="Cardo" w:eastAsia="Cardo" w:hAnsi="Cardo"/>
          <w:rtl w:val="0"/>
        </w:rPr>
        <w:t xml:space="preserve">→ When applying for grants, the State of the Region Initiative should be used in the application process as a basis for the funding requests. </w:t>
      </w:r>
    </w:p>
    <w:p w:rsidR="00000000" w:rsidDel="00000000" w:rsidP="00000000" w:rsidRDefault="00000000" w:rsidRPr="00000000" w14:paraId="0000001A">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 Build a communications and public participation strategy for maximising awareness and reach of the State of the Region initiative</w:t>
      </w:r>
    </w:p>
    <w:p w:rsidR="00000000" w:rsidDel="00000000" w:rsidP="00000000" w:rsidRDefault="00000000" w:rsidRPr="00000000" w14:paraId="0000001B">
      <w:pPr>
        <w:ind w:left="720" w:firstLine="0"/>
        <w:rPr>
          <w:rFonts w:ascii="Times New Roman" w:cs="Times New Roman" w:eastAsia="Times New Roman" w:hAnsi="Times New Roman"/>
        </w:rPr>
      </w:pPr>
      <w:r w:rsidDel="00000000" w:rsidR="00000000" w:rsidRPr="00000000">
        <w:rPr>
          <w:rFonts w:ascii="Cardo" w:cs="Cardo" w:eastAsia="Cardo" w:hAnsi="Cardo"/>
          <w:rtl w:val="0"/>
        </w:rPr>
        <w:t xml:space="preserve">→ Leverage existing communications and active partners to implement the State of the Region communications plan. </w:t>
      </w:r>
    </w:p>
    <w:p w:rsidR="00000000" w:rsidDel="00000000" w:rsidP="00000000" w:rsidRDefault="00000000" w:rsidRPr="00000000" w14:paraId="0000001C">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 Take the State of the Region initiative on a “road show”</w:t>
      </w:r>
    </w:p>
    <w:p w:rsidR="00000000" w:rsidDel="00000000" w:rsidP="00000000" w:rsidRDefault="00000000" w:rsidRPr="00000000" w14:paraId="0000001D">
      <w:pPr>
        <w:ind w:left="720" w:firstLine="0"/>
        <w:rPr>
          <w:rFonts w:ascii="Times New Roman" w:cs="Times New Roman" w:eastAsia="Times New Roman" w:hAnsi="Times New Roman"/>
        </w:rPr>
      </w:pPr>
      <w:r w:rsidDel="00000000" w:rsidR="00000000" w:rsidRPr="00000000">
        <w:rPr>
          <w:rFonts w:ascii="Cardo" w:cs="Cardo" w:eastAsia="Cardo" w:hAnsi="Cardo"/>
          <w:rtl w:val="0"/>
        </w:rPr>
        <w:t xml:space="preserve">→ Presentations on the State of the Region initiative should be prepared and delivered to key elected officials, decision-makers, and organisations like counties and selected municipalities.</w:t>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How SMP Partners and other organisations can help to implement this plan</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Incorporate State of the Region initiative goals, recommendations, and actions into your own </w:t>
      </w:r>
      <w:r w:rsidDel="00000000" w:rsidR="00000000" w:rsidRPr="00000000">
        <w:rPr>
          <w:rFonts w:ascii="Times New Roman" w:cs="Times New Roman" w:eastAsia="Times New Roman" w:hAnsi="Times New Roman"/>
          <w:rtl w:val="0"/>
        </w:rPr>
        <w:t xml:space="preserve">strategic planning processes and documents (ex., County comprehensive plans, non-profit strategic plans) </w:t>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Leverage State of the Region initiative results and information when providing technical assistance</w:t>
      </w:r>
      <w:r w:rsidDel="00000000" w:rsidR="00000000" w:rsidRPr="00000000">
        <w:rPr>
          <w:rFonts w:ascii="Times New Roman" w:cs="Times New Roman" w:eastAsia="Times New Roman" w:hAnsi="Times New Roman"/>
          <w:rtl w:val="0"/>
        </w:rPr>
        <w:t xml:space="preserve"> (ex., Counties assisting municipalities with updates to local codes or policies, non-profits delivering content to their audiences).</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Use your organisation's communications channels to help spread awareness,</w:t>
      </w:r>
      <w:r w:rsidDel="00000000" w:rsidR="00000000" w:rsidRPr="00000000">
        <w:rPr>
          <w:rFonts w:ascii="Times New Roman" w:cs="Times New Roman" w:eastAsia="Times New Roman" w:hAnsi="Times New Roman"/>
          <w:rtl w:val="0"/>
        </w:rPr>
        <w:t xml:space="preserve"> information, and updates about the project.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4"/>
        <w:rPr>
          <w:rFonts w:ascii="Cambria" w:cs="Cambria" w:eastAsia="Cambria" w:hAnsi="Cambria"/>
          <w:b w:val="1"/>
          <w:bCs w:val="1"/>
          <w:color w:val="42abcd"/>
          <w:sz w:val="22"/>
          <w:szCs w:val="22"/>
        </w:rPr>
      </w:pPr>
      <w:bookmarkStart w:colFirst="0" w:colLast="0" w:name="_wnd49gip7od7" w:id="1"/>
      <w:bookmarkEnd w:id="1"/>
      <w:r w:rsidDel="00000000" w:rsidR="00000000" w:rsidRPr="00000000">
        <w:rPr>
          <w:rFonts w:ascii="Cambria" w:cs="Cambria" w:eastAsia="Cambria" w:hAnsi="Cambria"/>
          <w:b w:val="1"/>
          <w:bCs w:val="1"/>
          <w:color w:val="42abcd"/>
          <w:sz w:val="22"/>
          <w:szCs w:val="22"/>
          <w:rtl w:val="0"/>
        </w:rPr>
        <w:t xml:space="preserve">6.1.1  Sustainability Development Principles</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Sustainable development is an approach to achieving communities that are socially, economically, and environmentally sustainable. Sustainable development provides choices — in housing, transportation, jobs, and amenities (including cultural, social services, recreational, and educational, among others) — using comprehensive planning to guide, design, develop, manage, and revitalize inclusive communities and regions. (source: American Planning Association)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Principles of Sustainability </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a range of housing opportunities and choices</w:t>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walkable neighbourhoods; provide additional transportation choices</w:t>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Foster distinctive, attractive communities with a strong sense of place </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Preserve open space, farmland, and critical environmental areas</w:t>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Make development decisions predictable, fair, and cost-effective</w:t>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Encourage community and stakeholder collaboration in decisions</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should be noted that these principles are flexible and adaptable and have been successfully applied in rural areas, small towns, suburbs, and cities throughout the United States. As this report was being prepared, the Steering Committee felt that any recommendations made should be viewed through the lens of these principles, where they are relevant.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future undertaking, reviewing these principles and adapting them to respond to South Mountain's needs and SMP's goals and mission may be helpful.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Cambria" w:cs="Cambria" w:eastAsia="Cambria" w:hAnsi="Cambria"/>
          <w:b w:val="1"/>
          <w:bCs w:val="1"/>
          <w:color w:val="42abcd"/>
        </w:rPr>
      </w:pPr>
      <w:r w:rsidDel="00000000" w:rsidR="00000000" w:rsidRPr="00000000">
        <w:rPr>
          <w:rFonts w:ascii="Cambria" w:cs="Cambria" w:eastAsia="Cambria" w:hAnsi="Cambria"/>
          <w:b w:val="1"/>
          <w:bCs w:val="1"/>
          <w:color w:val="42abcd"/>
          <w:rtl w:val="0"/>
        </w:rPr>
        <w:t xml:space="preserve">6.1.2 Development and Analysis</w:t>
      </w:r>
    </w:p>
    <w:p w:rsidR="00000000" w:rsidDel="00000000" w:rsidP="00000000" w:rsidRDefault="00000000" w:rsidRPr="00000000" w14:paraId="00000034">
      <w:pPr>
        <w:rPr>
          <w:rFonts w:ascii="Cambria" w:cs="Cambria" w:eastAsia="Cambria" w:hAnsi="Cambria"/>
          <w:b w:val="1"/>
          <w:bCs w:val="1"/>
          <w:color w:val="42abcd"/>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chapters of this Report have provided background and context for the regional challenges that face the South Mountain region. Recommended actions were developed to address these challenges using several sources, including relevant county planning documents, the questionnaire and survey performed early in the process, input from local subject matter advisors, the Steering Committee, the SMP Leadership Committee, participants at several SMP Partnership events, and analysis of the metrics and the interactive map.</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Steering Committee reviewed all potential recommendations, sorted by regional challenge, against two criteria: ease of implementation and effectiveness. Those recommendations that were easier to implement and very effective were seen as higher-priority.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further prioritise the top candidate recommendations, a SMART analysis was then performed. SMART is an acronym for Specific, Measurable, Achievable, Relevant and Time-bound. A table presenting the results of this SMART analysis is attached in the Appendix. All comments were synthesised and presented back to the Steering Committee for review. Following a robust discussion of the recommendations, five recommendations emerged as being the highest priority for SMP to work on and with the most benefit to county planning agencies.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five highest priority recommendations are: </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 Natural Heritage Areas inventories </w:t>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Expand regional trail system &amp; connectivity to parks and towns </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Plan for a wildlife corridor to connect South Mountain and Kittatinny Ridge and expand/strengthen greenways </w:t>
      </w:r>
    </w:p>
    <w:p w:rsidR="00000000" w:rsidDel="00000000" w:rsidP="00000000" w:rsidRDefault="00000000" w:rsidRPr="00000000" w14:paraId="0000003D">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Inventory South Mountain's historic resources </w:t>
      </w:r>
    </w:p>
    <w:p w:rsidR="00000000" w:rsidDel="00000000" w:rsidP="00000000" w:rsidRDefault="00000000" w:rsidRPr="00000000" w14:paraId="0000003E">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Track land conversion </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recommendations will be discussed in further detail. </w:t>
      </w:r>
      <w:r w:rsidDel="00000000" w:rsidR="00000000" w:rsidRPr="00000000">
        <w:rPr>
          <w:rtl w:val="0"/>
        </w:rPr>
      </w:r>
    </w:p>
    <w:p w:rsidR="00000000" w:rsidDel="00000000" w:rsidP="00000000" w:rsidRDefault="00000000" w:rsidRPr="00000000" w14:paraId="00000041">
      <w:pPr>
        <w:pStyle w:val="Heading4"/>
        <w:rPr>
          <w:rFonts w:ascii="Cambria" w:cs="Cambria" w:eastAsia="Cambria" w:hAnsi="Cambria"/>
          <w:b w:val="1"/>
          <w:bCs w:val="1"/>
          <w:color w:val="42abcd"/>
        </w:rPr>
      </w:pPr>
      <w:bookmarkStart w:colFirst="0" w:colLast="0" w:name="_9x4kew8z1nrt" w:id="2"/>
      <w:bookmarkEnd w:id="2"/>
      <w:r w:rsidDel="00000000" w:rsidR="00000000" w:rsidRPr="00000000">
        <w:rPr>
          <w:rFonts w:ascii="Cambria" w:cs="Cambria" w:eastAsia="Cambria" w:hAnsi="Cambria"/>
          <w:b w:val="1"/>
          <w:bCs w:val="1"/>
          <w:color w:val="42abcd"/>
          <w:rtl w:val="0"/>
        </w:rPr>
        <w:t xml:space="preserve">6.1.2  Highest Priority Recommendations</w:t>
      </w:r>
    </w:p>
    <w:p w:rsidR="00000000" w:rsidDel="00000000" w:rsidP="00000000" w:rsidRDefault="00000000" w:rsidRPr="00000000" w14:paraId="00000042">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Update Natural Heritage Inventories for Adams, Cumberland, Franklin, and York counties</w:t>
      </w:r>
    </w:p>
    <w:p w:rsidR="00000000" w:rsidDel="00000000" w:rsidP="00000000" w:rsidRDefault="00000000" w:rsidRPr="00000000" w14:paraId="00000043">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Natural Heritage Inventory (previously called the Natural Areas Inventory) is an inventory that is done at the county level. It provides ecological information about each county and all the Natural Heritage Areas (NHAs) that occur in that county. County natural heritage inventories have previously been performed for all four counties within the South Mountain region. However, all were done in the 2004-2005 time period. Since that time, there has been tremendous growth and land development in the region, and there is a need to update these inventories.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Cambria" w:cs="Cambria" w:eastAsia="Cambria" w:hAnsi="Cambria"/>
          <w:sz w:val="20"/>
          <w:szCs w:val="20"/>
        </w:rPr>
      </w:pPr>
      <w:r w:rsidDel="00000000" w:rsidR="00000000" w:rsidRPr="00000000">
        <w:rPr>
          <w:rFonts w:ascii="Times New Roman" w:cs="Times New Roman" w:eastAsia="Times New Roman" w:hAnsi="Times New Roman"/>
          <w:rtl w:val="0"/>
        </w:rPr>
        <w:t xml:space="preserve">This recommendation addresses the Sustainable development and the Loss of Farmland, Habitat, Historic/Cultural, Open Space, and Forest regional challenges by further documenting ecological conditions and making recommendations for their preservation and conservation. </w:t>
      </w: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4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8">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Expand the regional trail system and connections to parks and communities </w:t>
      </w:r>
    </w:p>
    <w:p w:rsidR="00000000" w:rsidDel="00000000" w:rsidP="00000000" w:rsidRDefault="00000000" w:rsidRPr="00000000" w14:paraId="00000049">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recommendation focuses on multi-use trails that can be used by cyclists, hikers, joggers, and walkers. Such a system would create physical connections between parks, other regional recreation areas and towns; and contribute to the region’s public open space system and to economic development by making the region more of an outdoor recreation destination.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could provide support for the planning of a regional, cross-county trail(s), an extension of the Cumberland Valley Rail Trail from Shippensburg to Chambersburg and from Newville to Carlisle. This recommendation addresses the Public Health and Recreation regional challenges by supporting the creation of more places for people to exercise and recreate. </w:t>
      </w:r>
    </w:p>
    <w:p w:rsidR="00000000" w:rsidDel="00000000" w:rsidP="00000000" w:rsidRDefault="00000000" w:rsidRPr="00000000" w14:paraId="0000004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E">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Plan for a wildlife corridor to connect to Kittatinny Ridge, Highlands, &amp; support greenways </w:t>
      </w:r>
    </w:p>
    <w:p w:rsidR="00000000" w:rsidDel="00000000" w:rsidP="00000000" w:rsidRDefault="00000000" w:rsidRPr="00000000" w14:paraId="0000004F">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recommendation is a combination of two earlier recommendations and contemplates a planned wildlife corridor using greenways (and other lands) to connect the South Mountain region to the Kittatinny Ridge across the Cumberland Valley and to the Highlands across York County. Wildlife corridors and greenways can serve as habitat for wildlife and can also serve as outdoor recreation for people if the land is public land.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recommendation will address the regional challenge of Loss of Farmland, Habitat, Historic/Cultural, Open Space, and Forest by preserving habitat and open space. It addresses the Sustainable development challenge by aiding in the preservation of critical environmental areas, and it addresses the Water Quality/Quantity regional challenge by preserving previous land coverage and forest resources.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Undertake an inventory of South Mountain's historic resources. </w:t>
      </w:r>
    </w:p>
    <w:p w:rsidR="00000000" w:rsidDel="00000000" w:rsidP="00000000" w:rsidRDefault="00000000" w:rsidRPr="00000000" w14:paraId="00000055">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South Mountain-wide inventory will document historic resources that represent the historical contexts presented in the Cultural Landscape Assessment for Michaux State Forest, prepared by South Mountain Partnership, plus other contexts deemed a priority.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recommendation addresses the regional challenge of Loss of Farmland, Habitat, Historic/Cultural, Open Space, and Forest by taking the necessary first step of fully documenting the historic/cultural resources. It addresses the Sustainable development challenge by fostering distinctive, attractive communities with a strong sense of place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Track Land Conversion</w:t>
      </w: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South Mountain region has experienced decades of land development, converting farmland, woodland, and vacant land into houses, shops, offices, parking lots, industrial parks, utility-scale solar facilities, and warehouses. Tracking this development at a regional scale would help better understand the pace, location and quality of this conversion.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recommendation is a mid-to-long-term recommendation, recognizing the complexities present with it. It addresses the Sustainable development challenge by providing data on how well the region is directing development toward existing communities, and it addresses the Loss of Farmland, Habitat, Historic/Cultural, Open Space, and Forest regional challenge</w:t>
      </w:r>
    </w:p>
    <w:p w:rsidR="00000000" w:rsidDel="00000000" w:rsidP="00000000" w:rsidRDefault="00000000" w:rsidRPr="00000000" w14:paraId="0000005F">
      <w:pPr>
        <w:pStyle w:val="Heading4"/>
        <w:rPr>
          <w:rFonts w:ascii="Cambria" w:cs="Cambria" w:eastAsia="Cambria" w:hAnsi="Cambria"/>
          <w:b w:val="1"/>
          <w:bCs w:val="1"/>
          <w:color w:val="42abcd"/>
          <w:sz w:val="22"/>
          <w:szCs w:val="22"/>
        </w:rPr>
      </w:pPr>
      <w:bookmarkStart w:colFirst="0" w:colLast="0" w:name="_41gifkm5w674" w:id="3"/>
      <w:bookmarkEnd w:id="3"/>
      <w:r w:rsidDel="00000000" w:rsidR="00000000" w:rsidRPr="00000000">
        <w:rPr>
          <w:rFonts w:ascii="Cambria" w:cs="Cambria" w:eastAsia="Cambria" w:hAnsi="Cambria"/>
          <w:b w:val="1"/>
          <w:bCs w:val="1"/>
          <w:color w:val="42abcd"/>
          <w:sz w:val="22"/>
          <w:szCs w:val="22"/>
          <w:rtl w:val="0"/>
        </w:rPr>
        <w:t xml:space="preserve">6.1.3 Other Recommended Actions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Further Recommended Action list is attached in the Appendix. Listed above are the highest-priority recommendations elaborated on in Chapter Seven’s Action Plan.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center"/>
      <w:rPr>
        <w:rFonts w:ascii="Cambria" w:cs="Cambria" w:eastAsia="Cambria" w:hAnsi="Cambria"/>
      </w:rPr>
    </w:pPr>
    <w:r w:rsidDel="00000000" w:rsidR="00000000" w:rsidRPr="00000000">
      <w:rPr>
        <w:rFonts w:ascii="Cambria" w:cs="Cambria" w:eastAsia="Cambria" w:hAnsi="Cambri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